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11185" w14:textId="77777777" w:rsidR="00AC2395" w:rsidRPr="006D6836" w:rsidRDefault="00AC2395" w:rsidP="00AC2395">
      <w:pPr>
        <w:rPr>
          <w:rFonts w:cs="Arial"/>
          <w:sz w:val="20"/>
        </w:rPr>
      </w:pPr>
      <w:bookmarkStart w:id="0" w:name="_GoBack"/>
      <w:bookmarkEnd w:id="0"/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AC2395" w:rsidRPr="004549F9" w14:paraId="77A73B22" w14:textId="77777777" w:rsidTr="00B44313">
        <w:trPr>
          <w:trHeight w:val="237"/>
        </w:trPr>
        <w:tc>
          <w:tcPr>
            <w:tcW w:w="2504" w:type="pc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21DD5DE9" w14:textId="6A97A4EB" w:rsidR="00AC2395" w:rsidRPr="00F25968" w:rsidRDefault="00465FB1" w:rsidP="00AC2395">
            <w:pP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</w:pPr>
            <w: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PAD</w:t>
            </w:r>
            <w:r w:rsidR="00AC2395"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:</w:t>
            </w:r>
          </w:p>
        </w:tc>
        <w:tc>
          <w:tcPr>
            <w:tcW w:w="2496" w:type="pc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44687D99" w14:textId="77777777" w:rsidR="00AC2395" w:rsidRPr="00F25968" w:rsidRDefault="00AC2395" w:rsidP="00AC2395">
            <w:pP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</w:pPr>
            <w:r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PERIODO AUDITADO (Vigencia):</w:t>
            </w:r>
          </w:p>
        </w:tc>
      </w:tr>
      <w:tr w:rsidR="00AC2395" w:rsidRPr="004549F9" w14:paraId="1AED3A94" w14:textId="77777777" w:rsidTr="00B44313">
        <w:trPr>
          <w:trHeight w:val="224"/>
        </w:trPr>
        <w:tc>
          <w:tcPr>
            <w:tcW w:w="2504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2060"/>
          </w:tcPr>
          <w:p w14:paraId="65947E69" w14:textId="77777777" w:rsidR="00AC2395" w:rsidRPr="00F25968" w:rsidRDefault="00AC2395" w:rsidP="00AC2395">
            <w:pP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</w:pPr>
            <w:r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SECTOR:</w:t>
            </w:r>
          </w:p>
        </w:tc>
        <w:tc>
          <w:tcPr>
            <w:tcW w:w="24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0CC2741D" w14:textId="77777777" w:rsidR="00AC2395" w:rsidRPr="00F25968" w:rsidRDefault="00AC2395" w:rsidP="00AC2395">
            <w:pP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</w:pPr>
            <w:r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SUJETO:</w:t>
            </w:r>
          </w:p>
        </w:tc>
      </w:tr>
      <w:tr w:rsidR="00015A4A" w:rsidRPr="004549F9" w14:paraId="31D2B040" w14:textId="77777777" w:rsidTr="00B44313">
        <w:trPr>
          <w:trHeight w:val="237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002060"/>
          </w:tcPr>
          <w:p w14:paraId="3486C8D0" w14:textId="15A3B9C6" w:rsidR="00015A4A" w:rsidRPr="00F25968" w:rsidRDefault="00015A4A" w:rsidP="00AC2395">
            <w:pP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</w:pPr>
            <w:r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TIPO DE AUDITORÍA:</w:t>
            </w:r>
          </w:p>
        </w:tc>
      </w:tr>
      <w:tr w:rsidR="00AC2395" w:rsidRPr="004549F9" w14:paraId="23FBFE65" w14:textId="77777777" w:rsidTr="00B44313">
        <w:trPr>
          <w:trHeight w:val="224"/>
        </w:trPr>
        <w:tc>
          <w:tcPr>
            <w:tcW w:w="2504" w:type="pct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002060"/>
          </w:tcPr>
          <w:p w14:paraId="7AC0552C" w14:textId="77777777" w:rsidR="00AC2395" w:rsidRPr="00F25968" w:rsidRDefault="00AC2395" w:rsidP="00AC2395">
            <w:pP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</w:pPr>
            <w:r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CÓDIGO AUDITORÍA:</w:t>
            </w:r>
          </w:p>
        </w:tc>
        <w:tc>
          <w:tcPr>
            <w:tcW w:w="24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nil"/>
            </w:tcBorders>
            <w:shd w:val="clear" w:color="auto" w:fill="002060"/>
          </w:tcPr>
          <w:p w14:paraId="3F907597" w14:textId="43AA6B5D" w:rsidR="00AC2395" w:rsidRPr="00F25968" w:rsidRDefault="00AC2395" w:rsidP="00015A4A">
            <w:pPr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</w:pPr>
            <w:r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 xml:space="preserve">NOMBRE </w:t>
            </w:r>
            <w:r w:rsidR="00015A4A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AUDITORÍA (Si aplica)</w:t>
            </w:r>
            <w:r w:rsidRPr="00F25968">
              <w:rPr>
                <w:rFonts w:eastAsia="Calibri" w:cs="Arial"/>
                <w:b/>
                <w:color w:val="FFFFFF"/>
                <w:sz w:val="20"/>
                <w:szCs w:val="22"/>
                <w:lang w:eastAsia="en-US"/>
              </w:rPr>
              <w:t>:</w:t>
            </w:r>
          </w:p>
        </w:tc>
      </w:tr>
      <w:tr w:rsidR="00015A4A" w:rsidRPr="00015A4A" w14:paraId="25EDBEE7" w14:textId="77777777" w:rsidTr="00B44313">
        <w:trPr>
          <w:trHeight w:val="224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auto"/>
          </w:tcPr>
          <w:p w14:paraId="38E94D78" w14:textId="51DD487B" w:rsidR="0067381D" w:rsidRPr="00015A4A" w:rsidRDefault="0067381D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5D9F6D2E" w14:textId="1915BD87" w:rsidR="0067381D" w:rsidRPr="00015A4A" w:rsidRDefault="00015A4A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  <w:r w:rsidRPr="00015A4A">
              <w:rPr>
                <w:rFonts w:eastAsia="Calibri" w:cs="Arial"/>
                <w:b/>
                <w:sz w:val="20"/>
                <w:szCs w:val="22"/>
                <w:lang w:eastAsia="en-US"/>
              </w:rPr>
              <w:t>FECHA:</w:t>
            </w:r>
          </w:p>
          <w:p w14:paraId="482C6D5B" w14:textId="77777777" w:rsidR="0067381D" w:rsidRDefault="0067381D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7BE5B150" w14:textId="77777777" w:rsidR="00015A4A" w:rsidRDefault="00015A4A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35D044CC" w14:textId="77777777" w:rsidR="00015A4A" w:rsidRDefault="00015A4A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11EC0DF8" w14:textId="77777777" w:rsidR="00015A4A" w:rsidRPr="00015A4A" w:rsidRDefault="00015A4A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6B6C0842" w14:textId="45B944DB" w:rsidR="0067381D" w:rsidRP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  <w:r w:rsidRPr="00015A4A">
              <w:rPr>
                <w:rFonts w:eastAsia="Calibri" w:cs="Arial"/>
                <w:b/>
                <w:sz w:val="20"/>
                <w:szCs w:val="22"/>
                <w:lang w:eastAsia="en-US"/>
              </w:rPr>
              <w:t>DESCRIPCIÓN DE LA NO CONFORMIDAD:</w:t>
            </w:r>
            <w:r w:rsidRPr="00015A4A">
              <w:rPr>
                <w:rFonts w:eastAsia="Calibri" w:cs="Arial"/>
                <w:sz w:val="20"/>
                <w:szCs w:val="22"/>
                <w:lang w:eastAsia="en-US"/>
              </w:rPr>
              <w:t xml:space="preserve"> </w:t>
            </w:r>
            <w:r w:rsidRPr="00015A4A">
              <w:rPr>
                <w:rFonts w:eastAsia="Calibri" w:cs="Arial"/>
                <w:i/>
                <w:sz w:val="20"/>
                <w:szCs w:val="22"/>
                <w:lang w:eastAsia="en-US"/>
              </w:rPr>
              <w:t>Enunciar los requisitos y/o criteriosy las características del producto objeto de la No Conformidad.</w:t>
            </w:r>
          </w:p>
          <w:p w14:paraId="5EF620F0" w14:textId="77777777" w:rsid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27E09DFD" w14:textId="77777777" w:rsid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6F19C3E8" w14:textId="77777777" w:rsid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4A7D82AF" w14:textId="77777777" w:rsidR="00015A4A" w:rsidRP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4363E0BD" w14:textId="7B5E9A0E" w:rsidR="00015A4A" w:rsidRP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  <w:r w:rsidRPr="00015A4A">
              <w:rPr>
                <w:rFonts w:eastAsia="Calibri" w:cs="Arial"/>
                <w:b/>
                <w:sz w:val="20"/>
                <w:szCs w:val="22"/>
                <w:lang w:eastAsia="en-US"/>
              </w:rPr>
              <w:t>ACCIÓN (ES):</w:t>
            </w:r>
            <w:r w:rsidRPr="00015A4A">
              <w:rPr>
                <w:rFonts w:eastAsia="Calibri" w:cs="Arial"/>
                <w:sz w:val="20"/>
                <w:szCs w:val="22"/>
                <w:lang w:eastAsia="en-US"/>
              </w:rPr>
              <w:t xml:space="preserve"> </w:t>
            </w:r>
            <w:r w:rsidRPr="00015A4A">
              <w:rPr>
                <w:rFonts w:eastAsia="Calibri" w:cs="Arial"/>
                <w:i/>
                <w:sz w:val="20"/>
                <w:szCs w:val="22"/>
                <w:lang w:eastAsia="en-US"/>
              </w:rPr>
              <w:t>Registrar las acciones  que se decidan adelantar indicando responsable (s) y fecha límite de ejecución.</w:t>
            </w:r>
          </w:p>
          <w:p w14:paraId="40819544" w14:textId="77777777" w:rsid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4C0B4086" w14:textId="77777777" w:rsid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66B7436C" w14:textId="77777777" w:rsid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1FA271E9" w14:textId="77777777" w:rsid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35F8ABCC" w14:textId="77777777" w:rsidR="00015A4A" w:rsidRP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0097963B" w14:textId="77777777" w:rsidR="00015A4A" w:rsidRPr="00015A4A" w:rsidRDefault="00015A4A" w:rsidP="00071F51">
            <w:pPr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</w:p>
          <w:p w14:paraId="526AF2F4" w14:textId="77777777" w:rsidR="00015A4A" w:rsidRPr="00015A4A" w:rsidRDefault="00015A4A" w:rsidP="00071F51">
            <w:pPr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</w:p>
          <w:p w14:paraId="464821CD" w14:textId="584595FB" w:rsidR="00015A4A" w:rsidRPr="00071F51" w:rsidRDefault="00015A4A" w:rsidP="00071F51">
            <w:pPr>
              <w:jc w:val="center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  <w:r w:rsidRPr="00071F51">
              <w:rPr>
                <w:rFonts w:eastAsia="Calibri" w:cs="Arial"/>
                <w:b/>
                <w:sz w:val="20"/>
                <w:szCs w:val="22"/>
                <w:lang w:eastAsia="en-US"/>
              </w:rPr>
              <w:t>Firma Contralor Auxiliar</w:t>
            </w:r>
          </w:p>
          <w:p w14:paraId="47E1FAEB" w14:textId="77777777" w:rsidR="00015A4A" w:rsidRPr="00015A4A" w:rsidRDefault="00015A4A" w:rsidP="00071F51">
            <w:pPr>
              <w:jc w:val="both"/>
              <w:rPr>
                <w:rFonts w:eastAsia="Calibri" w:cs="Arial"/>
                <w:i/>
                <w:sz w:val="20"/>
                <w:szCs w:val="22"/>
                <w:lang w:eastAsia="en-US"/>
              </w:rPr>
            </w:pPr>
          </w:p>
          <w:p w14:paraId="235A918C" w14:textId="77777777" w:rsidR="00015A4A" w:rsidRPr="00015A4A" w:rsidRDefault="00015A4A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7B25777D" w14:textId="77777777" w:rsidR="00015A4A" w:rsidRPr="00015A4A" w:rsidRDefault="00015A4A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4B75FB72" w14:textId="154D64AC" w:rsidR="00015A4A" w:rsidRDefault="007102F8" w:rsidP="00071F51">
            <w:pPr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>
              <w:rPr>
                <w:rFonts w:eastAsia="Calibri" w:cs="Arial"/>
                <w:sz w:val="20"/>
                <w:szCs w:val="22"/>
                <w:lang w:eastAsia="en-US"/>
              </w:rPr>
              <w:t>Relación de anexos:</w:t>
            </w:r>
          </w:p>
          <w:p w14:paraId="551BD6BA" w14:textId="77777777" w:rsidR="007102F8" w:rsidRDefault="007102F8" w:rsidP="00071F51">
            <w:pPr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</w:p>
          <w:p w14:paraId="11E2BE88" w14:textId="6B9A0C66" w:rsidR="007102F8" w:rsidRDefault="007102F8" w:rsidP="00071F51">
            <w:pPr>
              <w:pStyle w:val="Prrafodelista"/>
              <w:numPr>
                <w:ilvl w:val="0"/>
                <w:numId w:val="114"/>
              </w:numPr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>
              <w:rPr>
                <w:rFonts w:eastAsia="Calibri" w:cs="Arial"/>
                <w:sz w:val="20"/>
                <w:szCs w:val="22"/>
                <w:lang w:eastAsia="en-US"/>
              </w:rPr>
              <w:t>Xx</w:t>
            </w:r>
          </w:p>
          <w:p w14:paraId="0FDAA449" w14:textId="24DBE52B" w:rsidR="007102F8" w:rsidRPr="00F61FC9" w:rsidRDefault="007102F8" w:rsidP="00071F51">
            <w:pPr>
              <w:pStyle w:val="Prrafodelista"/>
              <w:numPr>
                <w:ilvl w:val="0"/>
                <w:numId w:val="114"/>
              </w:numPr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>
              <w:rPr>
                <w:rFonts w:eastAsia="Calibri" w:cs="Arial"/>
                <w:sz w:val="20"/>
                <w:szCs w:val="22"/>
                <w:lang w:eastAsia="en-US"/>
              </w:rPr>
              <w:t>Xx</w:t>
            </w:r>
          </w:p>
          <w:p w14:paraId="22F36529" w14:textId="77777777" w:rsidR="0067381D" w:rsidRDefault="0067381D" w:rsidP="00071F51">
            <w:pPr>
              <w:jc w:val="both"/>
              <w:rPr>
                <w:rFonts w:eastAsia="Calibri" w:cs="Arial"/>
                <w:b/>
                <w:sz w:val="20"/>
                <w:szCs w:val="22"/>
                <w:lang w:eastAsia="en-US"/>
              </w:rPr>
            </w:pPr>
          </w:p>
          <w:p w14:paraId="67BBAD21" w14:textId="17143FE6" w:rsidR="00F61FC9" w:rsidRPr="00F61FC9" w:rsidRDefault="00F61FC9" w:rsidP="00C134E6">
            <w:pPr>
              <w:jc w:val="both"/>
              <w:rPr>
                <w:rFonts w:eastAsia="Calibri" w:cs="Arial"/>
                <w:sz w:val="20"/>
                <w:szCs w:val="22"/>
                <w:lang w:eastAsia="en-US"/>
              </w:rPr>
            </w:pPr>
            <w:r>
              <w:rPr>
                <w:rFonts w:eastAsia="Calibri" w:cs="Arial"/>
                <w:b/>
                <w:sz w:val="20"/>
                <w:szCs w:val="22"/>
                <w:lang w:eastAsia="en-US"/>
              </w:rPr>
              <w:t xml:space="preserve">NOTA: </w:t>
            </w:r>
            <w:r>
              <w:rPr>
                <w:rFonts w:eastAsia="Calibri" w:cs="Arial"/>
                <w:sz w:val="20"/>
                <w:szCs w:val="22"/>
                <w:lang w:eastAsia="en-US"/>
              </w:rPr>
              <w:t xml:space="preserve">Cuando se dé un “producto no conforme”, el Director Técnico debe asegurar que la documentación aquí generada sea parte integral del expediente de auditoría y </w:t>
            </w:r>
            <w:r w:rsidR="00C134E6">
              <w:rPr>
                <w:rFonts w:eastAsia="Calibri" w:cs="Arial"/>
                <w:sz w:val="20"/>
                <w:szCs w:val="22"/>
                <w:lang w:eastAsia="en-US"/>
              </w:rPr>
              <w:t xml:space="preserve">debe </w:t>
            </w:r>
            <w:r>
              <w:rPr>
                <w:rFonts w:eastAsia="Calibri" w:cs="Arial"/>
                <w:sz w:val="20"/>
                <w:szCs w:val="22"/>
                <w:lang w:eastAsia="en-US"/>
              </w:rPr>
              <w:t>actualizar lo respectivo en</w:t>
            </w:r>
            <w:r w:rsidR="00C134E6">
              <w:rPr>
                <w:rFonts w:eastAsia="Calibri" w:cs="Arial"/>
                <w:sz w:val="20"/>
                <w:szCs w:val="22"/>
                <w:lang w:eastAsia="en-US"/>
              </w:rPr>
              <w:t xml:space="preserve"> el aplicativo de trazabilidad, así como realizar oportunamente las acciones formuladas en el plan de mejoramiento.</w:t>
            </w:r>
          </w:p>
        </w:tc>
      </w:tr>
    </w:tbl>
    <w:p w14:paraId="7E243F84" w14:textId="47559610" w:rsidR="004549F9" w:rsidRDefault="004549F9">
      <w:pPr>
        <w:rPr>
          <w:rFonts w:cs="Arial"/>
          <w:b/>
        </w:rPr>
      </w:pPr>
    </w:p>
    <w:sectPr w:rsidR="004549F9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DA2E7" w14:textId="77777777" w:rsidR="003E7CB1" w:rsidRDefault="003E7CB1" w:rsidP="00477CB4">
      <w:r>
        <w:separator/>
      </w:r>
    </w:p>
  </w:endnote>
  <w:endnote w:type="continuationSeparator" w:id="0">
    <w:p w14:paraId="38E6C32F" w14:textId="77777777" w:rsidR="003E7CB1" w:rsidRDefault="003E7CB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06CE5" w14:textId="77777777" w:rsidR="00B44313" w:rsidRDefault="003E7CB1" w:rsidP="00B44313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B44313" w:rsidRPr="00FA2FB6">
        <w:rPr>
          <w:rStyle w:val="Hipervnculo"/>
          <w:rFonts w:cs="Arial"/>
          <w:sz w:val="18"/>
        </w:rPr>
        <w:t>www.contraloriabogota.gov.co</w:t>
      </w:r>
    </w:hyperlink>
  </w:p>
  <w:p w14:paraId="28CE6B27" w14:textId="77777777" w:rsidR="00B44313" w:rsidRPr="0042735A" w:rsidRDefault="00B44313" w:rsidP="00B44313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38FF3712" w14:textId="7A0D1A23" w:rsidR="00B44313" w:rsidRDefault="00B44313" w:rsidP="00B44313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143B30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143B30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83A73" w14:textId="77777777" w:rsidR="003E7CB1" w:rsidRDefault="003E7CB1" w:rsidP="00477CB4">
      <w:r>
        <w:separator/>
      </w:r>
    </w:p>
  </w:footnote>
  <w:footnote w:type="continuationSeparator" w:id="0">
    <w:p w14:paraId="7C08B361" w14:textId="77777777" w:rsidR="003E7CB1" w:rsidRDefault="003E7CB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446"/>
      <w:gridCol w:w="1696"/>
    </w:tblGrid>
    <w:tr w:rsidR="00494350" w:rsidRPr="00210F5B" w14:paraId="00EE5592" w14:textId="77777777" w:rsidTr="00B44313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77777777" w:rsidR="00494350" w:rsidRPr="00210F5B" w:rsidRDefault="00494350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3B1E28AF">
                <wp:simplePos x="0" y="0"/>
                <wp:positionH relativeFrom="column">
                  <wp:posOffset>194310</wp:posOffset>
                </wp:positionH>
                <wp:positionV relativeFrom="paragraph">
                  <wp:posOffset>20955</wp:posOffset>
                </wp:positionV>
                <wp:extent cx="514350" cy="464820"/>
                <wp:effectExtent l="0" t="0" r="0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64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05" w:type="pct"/>
          <w:vMerge w:val="restart"/>
          <w:shd w:val="clear" w:color="auto" w:fill="auto"/>
          <w:vAlign w:val="center"/>
        </w:tcPr>
        <w:p w14:paraId="3B115020" w14:textId="23650648" w:rsidR="00494350" w:rsidRPr="00015A4A" w:rsidRDefault="00015A4A" w:rsidP="00A050AC">
          <w:pPr>
            <w:pStyle w:val="Ttulo2"/>
            <w:numPr>
              <w:ilvl w:val="0"/>
              <w:numId w:val="0"/>
            </w:numPr>
            <w:spacing w:before="0" w:after="0"/>
            <w:jc w:val="center"/>
            <w:rPr>
              <w:rFonts w:ascii="Arial" w:eastAsia="Arial" w:hAnsi="Arial" w:cs="Arial"/>
              <w:i w:val="0"/>
              <w:sz w:val="20"/>
              <w:shd w:val="clear" w:color="auto" w:fill="FFFFFF"/>
            </w:rPr>
          </w:pPr>
          <w:bookmarkStart w:id="1" w:name="_Toc66120874"/>
          <w:bookmarkStart w:id="2" w:name="_Toc66257933"/>
          <w:r w:rsidRPr="00A47CC5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P</w:t>
          </w:r>
          <w:r w:rsidR="00B44313" w:rsidRPr="00A47CC5">
            <w:rPr>
              <w:rFonts w:ascii="Arial" w:eastAsia="Arial" w:hAnsi="Arial" w:cs="Arial"/>
              <w:i w:val="0"/>
              <w:sz w:val="20"/>
              <w:shd w:val="clear" w:color="auto" w:fill="FFFFFF"/>
            </w:rPr>
            <w:t>roducto no conforme</w:t>
          </w:r>
          <w:bookmarkEnd w:id="1"/>
          <w:bookmarkEnd w:id="2"/>
        </w:p>
      </w:tc>
      <w:tc>
        <w:tcPr>
          <w:tcW w:w="936" w:type="pct"/>
          <w:vAlign w:val="center"/>
        </w:tcPr>
        <w:p w14:paraId="688F171C" w14:textId="77777777" w:rsidR="00B44313" w:rsidRPr="00B44313" w:rsidRDefault="00494350" w:rsidP="00B44313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B44313">
            <w:rPr>
              <w:rFonts w:cs="Arial"/>
              <w:sz w:val="18"/>
              <w:szCs w:val="20"/>
            </w:rPr>
            <w:t>Código formato</w:t>
          </w:r>
        </w:p>
        <w:p w14:paraId="651565C6" w14:textId="547685F5" w:rsidR="00494350" w:rsidRPr="00B44313" w:rsidRDefault="00494350" w:rsidP="00B44313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B44313">
            <w:rPr>
              <w:rFonts w:cs="Arial"/>
              <w:sz w:val="18"/>
              <w:szCs w:val="20"/>
            </w:rPr>
            <w:t>PVCGF-15-</w:t>
          </w:r>
          <w:r w:rsidR="00015A4A" w:rsidRPr="00B44313">
            <w:rPr>
              <w:rFonts w:cs="Arial"/>
              <w:sz w:val="18"/>
              <w:szCs w:val="20"/>
            </w:rPr>
            <w:t>20</w:t>
          </w:r>
        </w:p>
      </w:tc>
    </w:tr>
    <w:tr w:rsidR="00494350" w:rsidRPr="00210F5B" w14:paraId="0D460935" w14:textId="77777777" w:rsidTr="00B44313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05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936" w:type="pct"/>
          <w:vAlign w:val="center"/>
        </w:tcPr>
        <w:p w14:paraId="13E9D967" w14:textId="77777777" w:rsidR="00494350" w:rsidRPr="00B44313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B44313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2B311AB"/>
    <w:multiLevelType w:val="hybridMultilevel"/>
    <w:tmpl w:val="205A5D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7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8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9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1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5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6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80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6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0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4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5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1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3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9"/>
  </w:num>
  <w:num w:numId="2">
    <w:abstractNumId w:val="79"/>
  </w:num>
  <w:num w:numId="3">
    <w:abstractNumId w:val="7"/>
  </w:num>
  <w:num w:numId="4">
    <w:abstractNumId w:val="72"/>
  </w:num>
  <w:num w:numId="5">
    <w:abstractNumId w:val="97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8"/>
  </w:num>
  <w:num w:numId="14">
    <w:abstractNumId w:val="13"/>
  </w:num>
  <w:num w:numId="15">
    <w:abstractNumId w:val="71"/>
  </w:num>
  <w:num w:numId="16">
    <w:abstractNumId w:val="16"/>
  </w:num>
  <w:num w:numId="17">
    <w:abstractNumId w:val="14"/>
  </w:num>
  <w:num w:numId="18">
    <w:abstractNumId w:val="15"/>
  </w:num>
  <w:num w:numId="19">
    <w:abstractNumId w:val="86"/>
  </w:num>
  <w:num w:numId="20">
    <w:abstractNumId w:val="47"/>
  </w:num>
  <w:num w:numId="21">
    <w:abstractNumId w:val="60"/>
  </w:num>
  <w:num w:numId="22">
    <w:abstractNumId w:val="82"/>
  </w:num>
  <w:num w:numId="23">
    <w:abstractNumId w:val="19"/>
  </w:num>
  <w:num w:numId="24">
    <w:abstractNumId w:val="0"/>
  </w:num>
  <w:num w:numId="25">
    <w:abstractNumId w:val="102"/>
  </w:num>
  <w:num w:numId="26">
    <w:abstractNumId w:val="99"/>
  </w:num>
  <w:num w:numId="27">
    <w:abstractNumId w:val="88"/>
  </w:num>
  <w:num w:numId="28">
    <w:abstractNumId w:val="83"/>
  </w:num>
  <w:num w:numId="29">
    <w:abstractNumId w:val="108"/>
  </w:num>
  <w:num w:numId="30">
    <w:abstractNumId w:val="54"/>
  </w:num>
  <w:num w:numId="31">
    <w:abstractNumId w:val="37"/>
  </w:num>
  <w:num w:numId="32">
    <w:abstractNumId w:val="25"/>
  </w:num>
  <w:num w:numId="33">
    <w:abstractNumId w:val="101"/>
  </w:num>
  <w:num w:numId="34">
    <w:abstractNumId w:val="69"/>
  </w:num>
  <w:num w:numId="35">
    <w:abstractNumId w:val="39"/>
  </w:num>
  <w:num w:numId="36">
    <w:abstractNumId w:val="78"/>
  </w:num>
  <w:num w:numId="37">
    <w:abstractNumId w:val="57"/>
  </w:num>
  <w:num w:numId="38">
    <w:abstractNumId w:val="64"/>
  </w:num>
  <w:num w:numId="39">
    <w:abstractNumId w:val="11"/>
  </w:num>
  <w:num w:numId="40">
    <w:abstractNumId w:val="24"/>
  </w:num>
  <w:num w:numId="41">
    <w:abstractNumId w:val="87"/>
  </w:num>
  <w:num w:numId="42">
    <w:abstractNumId w:val="67"/>
  </w:num>
  <w:num w:numId="43">
    <w:abstractNumId w:val="100"/>
  </w:num>
  <w:num w:numId="44">
    <w:abstractNumId w:val="94"/>
  </w:num>
  <w:num w:numId="45">
    <w:abstractNumId w:val="109"/>
  </w:num>
  <w:num w:numId="46">
    <w:abstractNumId w:val="30"/>
  </w:num>
  <w:num w:numId="47">
    <w:abstractNumId w:val="29"/>
  </w:num>
  <w:num w:numId="48">
    <w:abstractNumId w:val="75"/>
  </w:num>
  <w:num w:numId="49">
    <w:abstractNumId w:val="66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70"/>
  </w:num>
  <w:num w:numId="53">
    <w:abstractNumId w:val="112"/>
  </w:num>
  <w:num w:numId="54">
    <w:abstractNumId w:val="62"/>
  </w:num>
  <w:num w:numId="55">
    <w:abstractNumId w:val="85"/>
  </w:num>
  <w:num w:numId="56">
    <w:abstractNumId w:val="41"/>
  </w:num>
  <w:num w:numId="57">
    <w:abstractNumId w:val="53"/>
  </w:num>
  <w:num w:numId="58">
    <w:abstractNumId w:val="80"/>
  </w:num>
  <w:num w:numId="59">
    <w:abstractNumId w:val="95"/>
  </w:num>
  <w:num w:numId="60">
    <w:abstractNumId w:val="105"/>
  </w:num>
  <w:num w:numId="61">
    <w:abstractNumId w:val="65"/>
  </w:num>
  <w:num w:numId="62">
    <w:abstractNumId w:val="28"/>
  </w:num>
  <w:num w:numId="63">
    <w:abstractNumId w:val="74"/>
  </w:num>
  <w:num w:numId="64">
    <w:abstractNumId w:val="103"/>
  </w:num>
  <w:num w:numId="65">
    <w:abstractNumId w:val="73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3"/>
  </w:num>
  <w:num w:numId="72">
    <w:abstractNumId w:val="56"/>
  </w:num>
  <w:num w:numId="73">
    <w:abstractNumId w:val="81"/>
  </w:num>
  <w:num w:numId="74">
    <w:abstractNumId w:val="42"/>
  </w:num>
  <w:num w:numId="75">
    <w:abstractNumId w:val="76"/>
  </w:num>
  <w:num w:numId="76">
    <w:abstractNumId w:val="27"/>
  </w:num>
  <w:num w:numId="77">
    <w:abstractNumId w:val="40"/>
  </w:num>
  <w:num w:numId="78">
    <w:abstractNumId w:val="34"/>
  </w:num>
  <w:num w:numId="79">
    <w:abstractNumId w:val="90"/>
  </w:num>
  <w:num w:numId="80">
    <w:abstractNumId w:val="84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8"/>
  </w:num>
  <w:num w:numId="86">
    <w:abstractNumId w:val="96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7"/>
  </w:num>
  <w:num w:numId="92">
    <w:abstractNumId w:val="55"/>
  </w:num>
  <w:num w:numId="93">
    <w:abstractNumId w:val="49"/>
  </w:num>
  <w:num w:numId="94">
    <w:abstractNumId w:val="106"/>
  </w:num>
  <w:num w:numId="95">
    <w:abstractNumId w:val="104"/>
  </w:num>
  <w:num w:numId="96">
    <w:abstractNumId w:val="59"/>
  </w:num>
  <w:num w:numId="97">
    <w:abstractNumId w:val="43"/>
  </w:num>
  <w:num w:numId="98">
    <w:abstractNumId w:val="31"/>
  </w:num>
  <w:num w:numId="99">
    <w:abstractNumId w:val="92"/>
  </w:num>
  <w:num w:numId="100">
    <w:abstractNumId w:val="91"/>
  </w:num>
  <w:num w:numId="101">
    <w:abstractNumId w:val="110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1"/>
  </w:num>
  <w:num w:numId="112">
    <w:abstractNumId w:val="107"/>
  </w:num>
  <w:num w:numId="113">
    <w:abstractNumId w:val="52"/>
  </w:num>
  <w:num w:numId="114">
    <w:abstractNumId w:val="63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0A0"/>
    <w:rsid w:val="000152E4"/>
    <w:rsid w:val="000153AD"/>
    <w:rsid w:val="000154F2"/>
    <w:rsid w:val="00015A4A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1F51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B30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29D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34F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1E77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A02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CB1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2D72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4B25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246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53CB"/>
    <w:rsid w:val="005A7BED"/>
    <w:rsid w:val="005B0D69"/>
    <w:rsid w:val="005B1432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C7460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107"/>
    <w:rsid w:val="00655253"/>
    <w:rsid w:val="006556FC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81D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87E5B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2F8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4C29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6631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6CBA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1B9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E7B23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0AC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CC5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DFF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5FFE"/>
    <w:rsid w:val="00B268DB"/>
    <w:rsid w:val="00B26DE3"/>
    <w:rsid w:val="00B27769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313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B7A62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2FC1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4E6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3DDC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D1A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588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329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B8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6E7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9B1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1FC9"/>
    <w:rsid w:val="00F62252"/>
    <w:rsid w:val="00F6258C"/>
    <w:rsid w:val="00F631C8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F2719-CBEF-4CC9-AE43-74CB28986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2021-08-23T22:29:00Z</cp:lastPrinted>
  <dcterms:created xsi:type="dcterms:W3CDTF">2021-08-20T17:50:00Z</dcterms:created>
  <dcterms:modified xsi:type="dcterms:W3CDTF">2021-08-23T22:29:00Z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